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2013/197 vom 30. März 2015</w:t>
      </w:r>
    </w:p>
    <w:p>
      <w:r>
        <w:t>Sg Versicherungsgericht, 2015-03-30, DE</w:t>
      </w:r>
    </w:p>
    <w:p>
      <w:r>
        <w:rPr>
          <w:b/>
        </w:rPr>
        <w:t xml:space="preserve">Quelle: </w:t>
      </w:r>
      <w:r>
        <w:t>https://mcp.opencaselaw.ch/entscheid/sg_publikationen_IV 2013_197</w:t>
      </w:r>
    </w:p>
    <w:p>
      <w:r>
        <w:t>FR: SG_VERSICHERUNGSGERICHT IV 2013/197 du 30 mars 2015</w:t>
      </w:r>
    </w:p>
    <w:p>
      <w:r>
        <w:t>IT: SG_VERSICHERUNGSGERICHT IV 2013/197 del 30 marzo 2015</w:t>
      </w:r>
    </w:p>
    <w:p>
      <w:pPr>
        <w:pStyle w:val="Heading2"/>
      </w:pPr>
      <w:r>
        <w:t>Regeste</w:t>
      </w:r>
    </w:p>
    <w:p>
      <w:r>
        <w:t>lit. a der Schlussbestimmungen der Änderung des IVG vom 18. März 2011 (IV-Revision 6a). Anwendbarkeit deren Abs. 4, weil die Invalidität der Beschwerdeführerin im massgebenden Zeitpunkt bereits länger als 15 Jahre andauerte (was hypothetisch einen Rentenanspruch ausgelöst hätte). Aufhebung der Rente nicht rechtmässig. Selbst wenn aber eine Anpassung nach Abs. 1 grundsätzlich zulässig wäre, wäre die angefochtene Verfügung wegen unzureichender Sachverhaltsabklärung rechtswidrig (Entscheid des Versicherungsgerichts des Kantons St. Gallen vom 30. März 2015, IV 2013/197). Aufgehoben durch Urteil des Bundesgerichts 8C_286/2015.</w:t>
      </w:r>
    </w:p>
    <w:p>
      <w:pPr>
        <w:pStyle w:val="Heading2"/>
      </w:pPr>
      <w:r>
        <w:t>Erwägungen</w:t>
      </w:r>
    </w:p>
    <w:p>
      <w:r>
        <w:rPr>
          <w:b/>
        </w:rPr>
        <w:t>E. 1</w:t>
      </w:r>
    </w:p>
    <w:p>
      <w:r>
        <w:t>1.1  Gemäss lit. a Abs. 1 der Schlussbestimmungen der Änderung des IVG vom 18. März 2011 (6. IV-Revision, erstes Massnahmenpaket) werden Renten, die bei pathogenetisch-ätiologisch unklaren syndromalen Beschwerdebildern ohne nachweis­bare organische Genese gesprochen worden sind, innerhalb von drei Jahren seit Inkrafttreten dieser Gesetzesänderungen überprüft, wobei die Rente herabzusetzen oder aufzuheben ist, wenn die Voraussetzungen von Art. 7 ATSG nicht erfüllt sind. Keine Anwendung findet diese Bestimmung auf Personen, die im Zeitpunkt des Inkrafttretens dieser Gesetzesänderungen das 55. Altersjahr zurückgelegt haben oder im Zeitpunkt, in dem die Überprüfung eingeleitet wird, seit mehr als fünfzehn Jahren eine Rente der Invalidenversicherung beziehen (Abs. 4). 1.2  In seiner Botschaft vom 24. Februar 2010 zur Änderung des Bundesgesetzes über die Invalidenversicherung (6. IV-Revision, erstes Massnahmenpaket; BBl 2010 1817 ff., 1912) hat der Bundesrat zu Abs. 4 der lit. a der Schlussbestimmung ausgeführt, für Personen ab 55 Jahren und für solche, die seit mehr als 15 Jahren eine Rente bezögen, werde unter Berücksichtigung der Gesichtspunkte der Rechtssicherheit und des Vertrauensschutzes eine Besitzstandgarantie vorgesehen. Eine Wiedereingliederung dürfte in diesen Fällen faktisch ausgeschlossen sein, weshalb die Schlussbestimmungen für diese Personen nicht zur Anwendung kämen. 1.3  Abs. 4 der lit. a der Schlussbestimmung ist am 1. Januar 2012 in Kraft getreten. Die 19__ geborene Beschwerdeführerin hatte zu diesem Zeitpunkt das 55. Altersjahr noch nicht zurückgelegt. - Des Weiteren ist massgeblich, in welchem Zeitpunkt die Überprüfung im Sinn der genannten Bestimmung eingeleitet wurde. Mit dem Versand des Fragebogens "Revision der Invalidenrente/Hilflosenentschädigung" am 3. April 2012 (vgl. IV-act. 144) hat die Beschwerdegegnerin ein Rentenrevisionsverfahren gemäss Art. 17 Abs. 1 ATSG eröffnet. Ziel dieses Verfahrens ist es gewesen, Hinweise auf eine allfällige Veränderung des Invaliditätsgrades seit der letzten Rentenrevision zu Tage zu fördern. Das ergibt sich aus den gestellten Fragen. Nichts deutet darauf hin, dass die Beschwerdegegnerin am 3. April 2012 gleichzeitig auch ein Überprüfungsverfahren gemäss der lit. a der Übergangsbestimmungen zur IV-Revision 6a eingeleitet hätte. Erst mit dem am 3. Juli 2012 an den Hausarzt verschickten Fragebogen "Überprüfung medizinischer Sachverhalt" (vgl. IV-act. 148) hat die Beschwerdegegnerin begonnen, den Sachverhalt im Hinblick auf eine allfällige Aufhebung der laufenden Rente gestützt auf diese Übergangsbestimmung abzuklären. Massgebendes Datum bei der Prüfung der Dauer des Rentenbezuges ist also der 3. Juli 2012 (nichts anderes ergäbe sich im Übrigen nach den folgenden E. 1.8 f., wenn vom 3. April 2012 auszugehen wäre). 1.4  Dem Wortlaut entsprechend fragt sich, ob die Beschwerdeführerin am 3. Juli 2012 seit mehr als fünfzehn Jahren eine Rente der Invalidenversicherung "bezogen" habe. 1.5  Die Rente war ihr mit der Verfügung vom 28. September 2000 (vgl. IV-act. 69) rückwirkend ab dem 1. März 1998 zugesprochen worden. Vertrauensschutz in die Rentenzusprache konnte demnach erst ab September 2000 entstehen. Nach BGE 139 V 442 E. 4.2.2 ff. ist allerdings für den Beginn des "Beziehens" der Rente im Sinn der Schlussbestimmung der Beginn des Rentenanspruchs und nicht das Datum der (rechtskräftig erlassenen) Rentenverfügung massgebend. Bei einer rückwirkenden Rentenzusprache kann also ein fünfzehnjähriger Rentenbezug vorliegen, auch wenn der Zeitpunkt, an dem die entsprechende Verfügung erlassen und die Rentenleistungen erstmals (einschliesslich Nachzahlung) ausgerichtet worden sind, weniger als fünfzehn Jahre zurückliegt. Beginn des Rentenanspruchs war im März 1998. 1.6  Würde man - dem Wortlaut des Abs. 4 der lit. a der Schlussbestimmung und der Rechtsprechung in BGE 139 V 442 gemäss - auf den Rentenbeginn am 1. März 1998 abstellen, wäre kein Ausnahmetatbestand gemäss Abs. 4 der Schlussbestimmung gegeben (am 3. Juli 2012 "Rentenbezug" während vierzehn Jahren und vier Monaten); diese Schlussbestimmung wäre vielmehr anwendbar. 1.7  Nun hat die Beschwerdeführerin aber nicht nur während vierzehn Jahren und vier Monaten Ersatzeinkünfte erhalten. Tatsächlich sind ihr ab dem 14. April 1997 IV-Taggelder für eine Abklärung ausgerichtet worden. Faktisch hat sie also (mit Ausnahme einer Woche Ende September/Anfang Oktober 1997) bereits ab diesem Zeitpunkt (und damit länger als 15 Jahre) ein IV-Ersatzeinkommen bezogen. 1.8  Dazu kommt, dass die Beschwerdeführerin, wie dem Gutachten der Klinik B.___ vom 23. Mai 1996 zu entnehmen ist, nach dem Unfall vom [...] 1995 bis mindestens zum Berichtsdatum nicht arbeitsfähig war (nach Angaben in der Arbeit­geberbescheinigung ab 17. Juli 1995; IV-act. 8-2). Sie musste ihre Ausbildung invaliditätsbedingt unterbrechen. Nach den Angaben im Gutachten hat sie lediglich im Dezember 1995 während eines Praktikums ein kleines Pensum von 30 % realisiert und dabei eine praktisch nicht verwertbare Leistung gezeigt. Seither war sie wieder voll arbeitsunfähig. Nach den medizinischen Akten ist demnach davon auszugehen, dass sie im [...] 1996 während eines Jahres ohne wesentlichen Unterbruch durchschnittlich mindestens zu 40 % arbeitsunfähig gewesen war, dass also unter diesem Aspekt in jenem Monat eine Wartezeit nach aArt. 29 Abs. 1 lit. b IVG abgelaufen ist. Im Februar/März 1996 war die Beschwerdeführerin zudem hospitalisiert (IV-act. 21-5) gewesen. Im März 1996 ist das Arbeitsverhältnis aufgelöst worden. Nach der Aktenlage blieb die Beschwerdeführerin durchgehend bis zum April 1997 arbeits- und somit auch eingliederungs- und ausbildungsunfähig. Die Beschwerdegegnerin sprach ihr dementsprechend auch (noch) keine berufliche Massnahme zu; es bestand daher kein Taggeldanspruch. Angesichts der Eingliederungs- und Ausbildungsunfähigkeit war die Rentenfrage zu prüfen. aArt. 28 Abs. 3 IVG sah vor, dass der Bundesrat ergänzende Vorschriften über die Bemessung der Invalidität namentlich für Versicherte erlässt, die vor Eintritt der Invalidität nicht erwerbstätig oder noch in Ausbildung begriffen waren. Nach aArt. 26 bis IVV (seit 1968) erfolgt die Bemessung der Invalidität von Versicherten, die in Ausbildung begriffen sind, sofern ihnen die Aufnahme einer Erwerbstätigkeit nicht zugemutet werden kann, gemäss Art. 27 Abs. 1 (Betätigungsvergleich). Sie werden damit den Nichterwerbstätigen im Sinn von aArt. 5 Abs. 1 IVG gleichgestellt. Die Behinderung im "Aufgabenbereich" richtet sich dabei nach der Beeinträchtigung in der schulischen bzw. beruflichen Ausbildung. Versicherten, welche das 18. Altersjahr vollendet haben, steht daher ein Rentenanspruch zu, wenn und soweit sie invaliditätsbedingt in der Berufsausbildung behindert sind (vgl. ZAK 1982 S. 495 ff.). Der Beschwerdeführerin waren das Aufgeben der Ausbildung und die Aufnahme einer Erwerbstätigkeit nicht zumutbar, da sie zwar eine gewisse schulische, aber noch keine berufliche Ausbildung erworben hatte. Es ist damit die Invalidität in der bisherigen Tätigkeit der Ausbildung zu bemessen. Hat ein Gesundheitsschaden eine wesentliche Behinderung im Ablauf der Ausbildung zur Folge (direkte Auswirkung), so entspricht die Invalidität nach der Verwaltungspraxis genau dem Ausmass, in welchem der Versicherte durch seinen Gesundheitsschaden daran gehindert wird, seiner Ausbildung normal nachzugehen. Diese Art der Bemessung gilt während der ganzen Ausbildungszeit (Rz 2111 der vom Bundesamt für Sozialversicherungen herausgegebenen Wegleitung über Invalidität und Hilflosigkeit in der Invalidenversicherung, WIH, in der bis 31. Dezember 1999 gültig gewesenen Fassung). Demnach ist ein Student als zur Hälfte invalid zu betrachten, wenn er infolge einer Krankheit oder eines Unfalls nur noch die Hälfte des Pensums bewältigen kann, das ein nichtinvalider Student des gleichen Fachs bei gleichem Ausbildungsstand erledigt. Als vollständig invalid gilt er, wenn er aus gesundheitlichen Gründen die Ausbildung noch nicht aufnehmen kann oder sie unterbrechen muss (Rz 2112 WIH; vgl. Rz 3091 des vom Bundesamt für Sozialversicherungen erlassenen Kreisschreibens über Invalidität und Hilflosigkeit in der Invalidenversicherung, KSIH, in der seit 2014 gültigen Fassung). Da die Beschwerdeführerin zusätzlich zum Ablauf der durchschnittlichen Arbeitsunfähigkeit während eines Jahres im [...] 1996 in diesem Sinn (ganz) invalid war, hätte sie nach aArt. 28 IVG damals einen Rentenanspruch gehabt. 1.9  Bei der Frage, ob die Schlussbestimmungen anwendbar seien, kann die lang­dauernde Arbeits- und Ausbildungsunfähigkeit der Beschwerdeführerin bereits vor dem 3. Juli 1997 mit hypothetischem Rentenbeginn im [...] 1996 nicht unbeachtet bleiben. Es rechtfertigt sich vielmehr eine ausdehnende Interpretation des Abs. 4 der lit. a der Schlussbestimmung. Denn wie im Entscheid BGE 139 V 442 E. 4.2.2 ff. dargelegt, ist ausschlaggebend, dass die Wahrscheinlichkeit einer Wiedereingliederung bereits von Beginn des (teilweisen) Ausscheidens aus dem Arbeitsleben weg (und nicht erst ab der Zusprache der Rente) kontinuierlich abnimmt. Die Beschwerdeführerin war bereits seit dem Unfall im [...] 1995 krankheitsbedingt nicht mehr in der Lage, an der Ausbildung als ihrer damaligen Tätigkeit bzw. ihrem damaligen Aufgabenbereich teilzunehmen. Deshalb ist die Aufhebung der Rente auf den 31. Mai 2013 nach den Schlussbestimmungen der IV-Revision 6a als rechtswidrig zu betrachten und die angefochtene Verfügung vom 17. April 2013 ist aufzuheben. Die Beschwerdeführerin hat auch nach dem 31. Mai 2013 einen Anspruch auf die laufende halbe Invalidenrente.</w:t>
      </w:r>
    </w:p>
    <w:p>
      <w:r>
        <w:rPr>
          <w:b/>
        </w:rPr>
        <w:t>E. 2</w:t>
      </w:r>
    </w:p>
    <w:p>
      <w:r>
        <w:t>2.1  Die angefochtene Verfügung vom 17. April 2013 wäre auch rechtswidrig, wenn auf der wörtlichen Anwendung des Abs. 4 der lit. a der Schlussbestimmung beharrt würde. Sie würde nämlich auf einer unzureichenden Sachverhaltsabklärung beruhen: In einem Verfahren nach lit. a Abs. 1 der Schlussbestimmungen zur IV-Revision 6a ist in einem ersten Schritt zu klären, ob die Voraussetzungen für eine Überprüfung und allfällige Anpassung des Rentenanspruchs gegeben sind. Dabei stellt sich insbesondere die Frage, ob die Rente aufgrund eines pathogenetisch-aetiologisch unklaren syndromalen Beschwerdebildes zugesprochen worden ist. Ist diese Frage zu bejahen und sind auch die übrigen Voraussetzungen (Alter der versicherten Person, Dauer des Rentenbezuges, dreijährige Überprüfungsfrist ab Inkrafttreten der Änderung) erfüllt, ist das eigentliche Verfahren zur (umfassenden und sorgfältigen) Überprüfung und allfälligen Anpassung des Rentenanspruchs von Amtes wegen zu eröffnen. Diese Überprüfung hat der geänderten bundesgerichtlichen Rechtsprechung Rechnung zu tragen. Das bedeutet, dass der Invaliditätsgrad unter Berücksichtigung der Vorgaben der aktuellen Rechtslage neu zu ermitteln ist. Dabei muss auch auf den aktuellen Sachverhalt abgestellt werden. Das folgt ohne weiteres aus dem Untersuchungsgrundsatz (Art. 43 Abs. 1 ATSG), aber auch aus dem Umstand, dass der Gesetzgeber keine Korrektur ex tunc, sondern vielmehr eine Anpassung ex nunc vorgesehen hat. Die Frage, die es zu beantworten gilt, lautet also nicht: Wie hoch war der Invaliditätsgrad im Zeitpunkt der ursprünglichen Rentenzusprache gestützt auf den damaligen Sachverhalt, aber unter Berücksichtigung der aktuellen Rechtsprechung? Vielmehr ist die aktuelle Praxis auf den aktuellen Sachverhalt anzuwenden, denn die rentenanpassungstypische Frage lautet: Wie hoch ist der Invaliditätsgrad im aktuellen Zeitpunkt unter Berücksichtigung des aktuellen Sachverhaltes und des jetzt geltenden Rechts? Der Gesetzgeber wollte die Vergangenheit auf sich beruhen lassen, die laufenden Renten aber für die Zukunft korrigieren. Das setzt zwingend voraus, dass das aktuelle Recht bzw. die aktuelle Praxis auf den aktuellen Sachverhalt angewendet wird. 2.2  Die medizinische Grundlage für die Zusprache der Invalidenrente hatte in den Folgen des erlittenen Distorsionstraumas der Halswirbelsäule (bzw. der erlittenen Dis­torsionstraumata der Halswirbelsäule) gelegen, wie insbesondere die Berichte der B.___ vom 27. Oktober 1998 (IV-act. 51), 10. Februar 1997 (IV-act. 21) und 23. Mai 1996 (IV-act. 10) belegt hatten. Weitere, davon unabhängige Beschwerden waren nicht diagnostiziert worden. Auch waren keine organisch nachweisbaren Funk­tionsausfälle dokumentiert worden. Die Ärzte der B.___ hatten auf die Frage, ob eine organische Grundlage bestehe, geantwortet: "Eine klar objektive Grundlage im Sinne eines radiologischen Nachweises ist bei Distorsionstraumen in aller Regel nicht möglich, dennoch lassen sich bei der funktionellen Untersuchung die Beschwerden organisch begründen" (IV-act. 10–6). Es hatte also bloss ein funktioneller, aber kein radiologischer und damit im eng verstandenen Sinn (gemäss BGE 134 V 231) organischer Nachweis erhoben werden können. Gemäss der bundesgerichtlichen Rechtsprechung ist aber die Frage, ob eine spezifische und unfalladäquate Verletzung der Halswirbelsäule ohne organisch nachweisbare Funktionsausfälle invalidisierend wirkt, sinngemäss anhand der Rechtsprechung zu den anhaltenden somatoformen Schmerzstörungen zu beantworten (BGE 136 V 279). Folglich ist die Frage, ob die Rente aufgrund eines syndromalen Leidens im Sinn der Schlussbestimmung zur IV-Revision 6a zugesprochen worden ist, zu bejahen. 2.3  Eine bei einem Unfall erlittene Verletzung im Bereich von HWS und Kopf kann allerdings nach der Rechtsprechung auch ohne organisch nachweisbare (d.h. objektivierbare) Funktionsausfälle zu länger dauernden, die Arbeits- und Erwerbsfähigkeit beeinträchtigenden Beschwerden führen. Derartige Verletzungen sind durch ein komplexes und vielschichtiges Beschwerdebild mit eng ineinander verwobenen, einer Differenzierung kaum zugänglichen Beschwerden physischer und psychischer Natur gekennzeichnet. Diese mit Bezug auf die obligatorische Unfallversicherung entwickelten Grundsätze sind auch für die Invalidenversicherung massgebend. Auch hier kann eine spezifische HWS-Verletzung ohne organisch nachweisbare Funktionsausfälle mit dem für derartige Verletzungen typischen, komplexen und vielschichtigen Beschwerdebild die Arbeits- und Erwerbsfähigkeit beeinträchtigen. Vom Fehlen organisch nachweisbarer Befunde kann mithin in diesem Rahmen nicht ohne weiteres direkt auf - überwindbare - psychische Beschwerden geschlossen werden (BGE 136 V 279 E. 3.1, Bundesgerichtsentscheid i/S J. vom 14. Dezember 2009, 8C_362/09). 2.4  Bei der Ermittlung des aktuellen medizinischen Sachverhalts hat sich die Beschwerdegegnerin auf eine Stellungnahme des RAD-Arztes Dr. E.___ beschränkt, der im Wesentlichen nur ausgeführt hat, laut dem Gutachten der B.___ vom 23. Mai 1996 liege ein Leiden gemäss der Schlussbestimmung zur IV-Revision 6a vor. Es sei keine mitwirkende psychiatrische Komorbidität von erheblicher Schwere, Intensität, Ausprägung und Dauer ausgewiesen und die übrigen Foerster'schen Kriterien seien nicht erfüllt. Selbst wenn das zuträfe, bezieht es sich bei genauer Betrachtung nur auf den damaligen medizinischen Sachverhalt. Dr. E.___ hat die Frage, ob und in welchem Umfang es der Beschwerdeführerin aktuell zumutbar sei, trotz ihrer Schmerzen einer Erwerbstätigkeit nachzugehen, nicht überzeugend beantwortet. Seine Ausführungen können zwar gesamthaft dahingehend interpretiert werden, dass seines Erachtens die Arbeitsfähigkeit der Beschwerdeführerin aktuell nicht beeinträchtigt sei. Eine überzeugende Begründung für diese Schlussfolgerung lässt sich seiner Stellungnahme aber nicht entnehmen. Insbesondere vermag der Verweis auf das (damals) 16 Jahre alte Gutachten nicht zu überzeugen. Daran ändert auch der Umstand nichts, dass C.___ und Dr. D.___ eine seitherige wesentliche Veränderung verneint haben, denn diese Einschätzung ist nicht begründet worden. Gemäss der Lage der Akten hat kein Arzt eine umfassende Erhebung der aktuellen Befunde durchgeführt. Darüber, wie es um die Gesundheit der Beschwerdeführerin im Zeitpunkt des Erlasses der angefochtenen Rentenaufhebungsverfügung tatsächlich bestellt gewesen ist, geben die Akten keine Auskunft. Die vom Gesetzgeber geforderte sorgfältige Prüfung der aktuellen Zumutbarkeit einer Arbeitstätigkeit trotz Schmerzen bzw. des aktuellen Arbeitsfähigkeitsgrades ist demnach nicht erfolgt. Die angefochtene Verfügung beruht folglich auf einem ungenügend abgeklärten aktuellen Sachverhalt (vgl. zu den Anforderungen an eine aktuelle Abklärung BGE 139 V 547 E. 10.2), was eine Verletzung der Untersuchungspflicht (Art. 43 Abs. 1 ATSG) darstellt. Würde davon ausgegangen, dass die Beschwerdeführerin bei der Einleitung des Überprüfungsverfahrens nicht bereits seit mehr als fünfzehn Jahren eine Leistung im Sinn des Abs. 4 der lit. a der Schlussbestimmung bezogen habe, müsste die Sache also zur weiteren Abklärung und zur anschliessenden neuen Verfügung an die Beschwerdegegnerin zurückgewiesen werden.</w:t>
      </w:r>
    </w:p>
    <w:p>
      <w:r>
        <w:rPr>
          <w:b/>
        </w:rPr>
        <w:t>E. 3</w:t>
      </w:r>
    </w:p>
    <w:p>
      <w:r>
        <w:t>Mit dem Entscheid in der Sache erübrigt sich eine Behandlung des Antrag auf eine Wiederherstellung der aufschiebenden Wirkung der Beschwerde.</w:t>
      </w:r>
    </w:p>
    <w:p>
      <w:r>
        <w:rPr>
          <w:b/>
        </w:rPr>
        <w:t>E. 4</w:t>
      </w:r>
    </w:p>
    <w:p>
      <w:r>
        <w:t>Zusammenfassend ist die Beschwerde gutzuheissen. Die unterliegende Beschwerdegegnerin hat die Gerichtsgebühr von Fr. 600.-- zu bezahlen. Der Beschwerdeführerin wird der von ihr geleistete Kostenvorschuss von Fr. 600.-- zurückerstattet. Die Beschwerdegegnerin hat der obsiegenden Beschwerdeführerin eine Parteientschädigung von Fr. 3'500.-- (einschliesslich Barauslagen und Mehrwertsteuer) auszurichten. Demgemäss hat das Versicherungsgericht entschieden: 1.  In Gutheissung der Beschwerde wird die angefochtene Verfügung vom 17. April 2013 aufgehoben. 2.  Die Beschwerdegegnerin hat die Gerichtskosten von Fr. 600.-- zu bezahlen; der Beschwerdeführerin wird der von ihr in gleicher Höhe geleistete Kostenvorschuss zurückerstattet. 3.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